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2D" w:rsidRDefault="003E722D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Проектная декларация ООО «СК «</w:t>
      </w:r>
      <w:proofErr w:type="spellStart"/>
      <w:r>
        <w:rPr>
          <w:rFonts w:ascii="Trebuchet MS" w:hAnsi="Trebuchet MS"/>
          <w:b/>
          <w:bCs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b/>
          <w:bCs/>
          <w:color w:val="2E3D4E"/>
          <w:sz w:val="21"/>
          <w:szCs w:val="21"/>
        </w:rPr>
        <w:t>»</w:t>
      </w:r>
    </w:p>
    <w:p w:rsidR="003E722D" w:rsidRDefault="003E722D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по объекту: многоквартирный жилой дом №1</w:t>
      </w:r>
    </w:p>
    <w:p w:rsidR="003E722D" w:rsidRDefault="003E722D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Новгородский район, Пролетарское городского поселение, п. Пролетарий</w:t>
      </w:r>
    </w:p>
    <w:p w:rsidR="003E722D" w:rsidRDefault="00E7368F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(по состоянию на </w:t>
      </w:r>
      <w:r w:rsidR="003E722D">
        <w:rPr>
          <w:rFonts w:ascii="Trebuchet MS" w:hAnsi="Trebuchet MS"/>
          <w:color w:val="2E3D4E"/>
          <w:sz w:val="21"/>
          <w:szCs w:val="21"/>
        </w:rPr>
        <w:t>20 мая 2015года)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Великий Новгород                                                                                  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   «</w:t>
      </w:r>
      <w:proofErr w:type="gramEnd"/>
      <w:r>
        <w:rPr>
          <w:rFonts w:ascii="Trebuchet MS" w:hAnsi="Trebuchet MS"/>
          <w:color w:val="2E3D4E"/>
          <w:sz w:val="21"/>
          <w:szCs w:val="21"/>
        </w:rPr>
        <w:t>20» мая 2015г.</w:t>
      </w:r>
    </w:p>
    <w:p w:rsidR="003E722D" w:rsidRDefault="003E722D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I. Информация о застройщике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Фирменное наименование.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Общество с ограниченной ответственностью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Юридический/фактический адрес:</w:t>
      </w:r>
      <w:r>
        <w:rPr>
          <w:rFonts w:ascii="Trebuchet MS" w:hAnsi="Trebuchet MS"/>
          <w:color w:val="2E3D4E"/>
          <w:sz w:val="21"/>
          <w:szCs w:val="21"/>
        </w:rPr>
        <w:t xml:space="preserve">173021 г. Великий Новгород, пр. Мира, д. 31,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Конт.тел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./факс (8162) 67-34-33, 67-34-44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Режим работы</w:t>
      </w:r>
      <w:r>
        <w:rPr>
          <w:rFonts w:ascii="Trebuchet MS" w:hAnsi="Trebuchet MS"/>
          <w:color w:val="2E3D4E"/>
          <w:sz w:val="21"/>
          <w:szCs w:val="21"/>
        </w:rPr>
        <w:t>: ПН-ПТ 8.30-17.30, обед: 13.00-14.00, СБ-ВС – выходной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4.Свидетельство о государственной регистрации серия 53 № 001110807 от 16.10.2009г.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5. </w:t>
      </w:r>
      <w:proofErr w:type="gramStart"/>
      <w:r>
        <w:rPr>
          <w:rFonts w:ascii="Trebuchet MS" w:hAnsi="Trebuchet MS"/>
          <w:b/>
          <w:bCs/>
          <w:color w:val="2E3D4E"/>
          <w:sz w:val="21"/>
          <w:szCs w:val="21"/>
        </w:rPr>
        <w:t>Учредители :</w:t>
      </w:r>
      <w:proofErr w:type="gramEnd"/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 Шушкевич Александр Сергеевич - 50%, Иванов Сергей Александрович – 50%. 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.</w:t>
      </w:r>
    </w:p>
    <w:p w:rsidR="003E722D" w:rsidRDefault="003E722D" w:rsidP="003E722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II. Информация о проекте строительства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Цель проекта строительства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Многоквартирный жилой дом №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1  </w:t>
      </w:r>
      <w:bookmarkStart w:id="0" w:name="_GoBack"/>
      <w:r>
        <w:rPr>
          <w:rFonts w:ascii="Trebuchet MS" w:hAnsi="Trebuchet MS"/>
          <w:color w:val="2E3D4E"/>
          <w:sz w:val="21"/>
          <w:szCs w:val="21"/>
        </w:rPr>
        <w:t>Новгородский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район, Пролетарское городское поселение, п. Пролетарий</w:t>
      </w:r>
      <w:bookmarkEnd w:id="0"/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Этапы и сроки реализации проекта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proofErr w:type="gramStart"/>
      <w:r>
        <w:rPr>
          <w:rFonts w:ascii="Trebuchet MS" w:hAnsi="Trebuchet MS"/>
          <w:color w:val="2E3D4E"/>
          <w:sz w:val="21"/>
          <w:szCs w:val="21"/>
        </w:rPr>
        <w:t>Строительство  осуществляется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в один этап.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Предполагаемый срок сдачи объекта- III квартал 2015г.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Разрешение на строительство.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Разрешение на строительство № RU53511102-88 от 11.03.2014г., выданное Администрацией Новгородского муниципального района на строительство    объекта   капитального  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строительства:  «</w:t>
      </w:r>
      <w:proofErr w:type="gramEnd"/>
      <w:r>
        <w:rPr>
          <w:rFonts w:ascii="Trebuchet MS" w:hAnsi="Trebuchet MS"/>
          <w:color w:val="2E3D4E"/>
          <w:sz w:val="21"/>
          <w:szCs w:val="21"/>
        </w:rPr>
        <w:t>Многоквартирный жилой дом №1 п.  Пролетарий»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 Права застройщика на земельный участок.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 ведет строительство на земельном участке, находящемся в собственности на основании Договора купли-продажи от 28.01.2014 года 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5. Собственник земельного участка.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 Свидетельство о государственной регистрации права № 53-53-10/021/2014-201 от 12 февраля 2014 года выдано Управлением Федеральной службы государственной регистрации, кадастра и картографии по Новгородской области.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6. Границы и площадь земельного участка, предусмотренные проектной документацией.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Кадастровый номер земельного участка 53: 11: 1000208:135. Общая площадь земельного участка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18000  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Границы участка - в соответствии с кадастровым планом.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7. Элементы благоустройства.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Площадки для игр детей дошкольного и младшего школьного возраста;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Хозяйственные площадки;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парковочные  автомобильные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стоянки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8. Местоположение объекта.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lastRenderedPageBreak/>
        <w:t>Новгородская область, Новгородский район, п. Пролетарий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9. Описание объекта, подготовленное в соответствии с проектной документацией, на основании которой выдано разрешение на строительство.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Кол-во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этажей  -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3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эт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., кол-во  -48 шт.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Общая площадь жилого здания – 2547,2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,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Общая площадь квартир – 1936,2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,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Строительный объем здания – 9108,0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куб.м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10. Количество самостоятельных частей в составе создаваемого объекта: квартир, гаражей, иных объектов.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1-2-3 этажи- квартиры; 48 квартир, из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них:  1</w:t>
      </w:r>
      <w:proofErr w:type="gramEnd"/>
      <w:r>
        <w:rPr>
          <w:rFonts w:ascii="Trebuchet MS" w:hAnsi="Trebuchet MS"/>
          <w:color w:val="2E3D4E"/>
          <w:sz w:val="21"/>
          <w:szCs w:val="21"/>
        </w:rPr>
        <w:t>-комнатных – 30 шт., 2-комнатных -12 шт.,  3-комнатных – 6 шт.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11. Функциональное назначение нежилых помещений в многоквартирном доме, не входящих в состав общего имущества.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Отсутствует.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12. Состав общего имущества объекта (будет находиться в общей долевой собственности участников долевого строительства).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электрощитовые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). Доля каждого собственника в общем имуществе определяется пропорционально общей площади помещений, приобретаемых в собственность.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13. Предполагаемый срок получения разрешения на ввод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proofErr w:type="spellStart"/>
      <w:r>
        <w:rPr>
          <w:rFonts w:ascii="Trebuchet MS" w:hAnsi="Trebuchet MS"/>
          <w:color w:val="2E3D4E"/>
          <w:sz w:val="21"/>
          <w:szCs w:val="21"/>
        </w:rPr>
        <w:t>IIIквартал</w:t>
      </w:r>
      <w:proofErr w:type="spellEnd"/>
      <w:r>
        <w:rPr>
          <w:rFonts w:ascii="Trebuchet MS" w:hAnsi="Trebuchet MS"/>
          <w:color w:val="2E3D4E"/>
          <w:sz w:val="21"/>
          <w:szCs w:val="21"/>
        </w:rPr>
        <w:t xml:space="preserve"> 2015 г.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14. Возможные финансовые и прочие риски при осуществлении проекта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15. Меры по добровольному страхованию застройщиком финансовых и прочих рисков: 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Меры по добровольному страхованию застройщиком не принимались.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16. Планируемая стоимость строительства </w:t>
      </w:r>
      <w:proofErr w:type="gramStart"/>
      <w:r>
        <w:rPr>
          <w:rFonts w:ascii="Trebuchet MS" w:hAnsi="Trebuchet MS"/>
          <w:b/>
          <w:bCs/>
          <w:color w:val="2E3D4E"/>
          <w:sz w:val="21"/>
          <w:szCs w:val="21"/>
        </w:rPr>
        <w:t>объекта:</w:t>
      </w:r>
      <w:r>
        <w:rPr>
          <w:rFonts w:ascii="Trebuchet MS" w:hAnsi="Trebuchet MS"/>
          <w:color w:val="2E3D4E"/>
          <w:sz w:val="21"/>
          <w:szCs w:val="21"/>
        </w:rPr>
        <w:t>  53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600 000 руб.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17. Способ обеспечения исполнения обязательств застройщика по договору: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В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обеспечение  исполнения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обязательств застройщика по договору с момента государственной регистрации участия в долевом строительстве у участников долевого строительства считаются  находящимися в залоге право собственности на земельный участок  и строящийся  (создаваемый) на этом земельном участке  многоквартирный дом – залог в силу закона в порядке ст. ст.13-15- 214-ФЗ от 30.12.2004г., п.3 ст.334 ГК РФ.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18. Иные договоры и сделки, на основании которых привлекаются денежные средства для строительства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19.Перечень организаций, осуществляющих основные строительно- монтажные и другие работы: </w:t>
      </w:r>
    </w:p>
    <w:p w:rsidR="003E722D" w:rsidRDefault="003E722D" w:rsidP="003E722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Генеральный подрядчик ООО «РСК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 xml:space="preserve">». Свидетельство о допуске к работам, которые оказывают влияние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на  безопасность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объектов капитального строительства № 0821.05-2010-5321101200-С-003 от 02.10.2014года (выдано СРО НП «Объединение строителей Санкт-Петербурга»)</w:t>
      </w:r>
    </w:p>
    <w:p w:rsidR="00E4440B" w:rsidRDefault="00CF3263"/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D"/>
    <w:rsid w:val="002E2E1E"/>
    <w:rsid w:val="003216E8"/>
    <w:rsid w:val="003E722D"/>
    <w:rsid w:val="00CF3263"/>
    <w:rsid w:val="00E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F6D9-4E52-46AD-8A86-86626BEF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3</cp:revision>
  <dcterms:created xsi:type="dcterms:W3CDTF">2017-07-26T17:54:00Z</dcterms:created>
  <dcterms:modified xsi:type="dcterms:W3CDTF">2017-07-26T18:05:00Z</dcterms:modified>
</cp:coreProperties>
</file>